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4AA2" w14:textId="098339CB" w:rsidR="00BC788D" w:rsidRPr="00885337" w:rsidRDefault="004B620B" w:rsidP="004B620B">
      <w:pPr>
        <w:pStyle w:val="titel"/>
        <w:spacing w:before="480"/>
      </w:pPr>
      <w:r w:rsidRPr="004B620B">
        <w:t xml:space="preserve">Fördelning av löneutrymme </w:t>
      </w:r>
      <w:r>
        <w:t>Gårdsskolan</w:t>
      </w:r>
    </w:p>
    <w:p w14:paraId="076793EF" w14:textId="77777777" w:rsidR="003C59E7" w:rsidRPr="003314DC" w:rsidRDefault="003C59E7" w:rsidP="003C59E7">
      <w:bookmarkStart w:id="0" w:name="_Hlk97976869"/>
      <w:r w:rsidRPr="003314DC">
        <w:t xml:space="preserve">Individuell lön är ett verktyg för att göra vår verksamhet bättre. Den ska bidra till att utveckla egna förmågor, men också verksamheten i stort och därmed elevernas lärande. Alla medarbetare ska veta varför de har den lön de har och hur de ska kunna påverka sin lön över tid. </w:t>
      </w:r>
    </w:p>
    <w:p w14:paraId="2BA2E1DC" w14:textId="77777777" w:rsidR="003C59E7" w:rsidRPr="003314DC" w:rsidRDefault="003C59E7" w:rsidP="003C59E7">
      <w:r w:rsidRPr="003314DC">
        <w:t xml:space="preserve">Det är med </w:t>
      </w:r>
      <w:r w:rsidRPr="003314DC">
        <w:rPr>
          <w:b/>
          <w:bCs/>
        </w:rPr>
        <w:t>hela lönen</w:t>
      </w:r>
      <w:r w:rsidRPr="003314DC">
        <w:t>, den ersättning medarbetaren får varje månad, som arbetsgivaren visar vad Staden är villig att betala utifrån uppdraget och den anställdes bidrag till verksamhetsutvecklingen. Vi vill därför lyfta fram perspektivet från att fokusera på löneutvecklingen, uttryckt i kronor eller procent, till att fokusera på hela lönen.</w:t>
      </w:r>
    </w:p>
    <w:p w14:paraId="77846682" w14:textId="77777777" w:rsidR="004B620B" w:rsidRPr="0098323F" w:rsidRDefault="004B620B" w:rsidP="004B620B">
      <w:r w:rsidRPr="003314DC">
        <w:t xml:space="preserve">Vi har högre krav på goda resultat för en medarbetare med en relativt hög lönenivå. Löneöversynen är ett </w:t>
      </w:r>
      <w:r w:rsidRPr="00061088">
        <w:t>redskap för att premiera särskilt goda arbetsinsatser, de skickligaste medarbetarna ska ha de högsta lönerna. Den här modellen innebär samtidigt att den med en lägre lön har större möjlighet att öka sin lön, eftersom man får en större andel av delen prestation i förhållande till löneläge.</w:t>
      </w:r>
    </w:p>
    <w:p w14:paraId="2D5D8383" w14:textId="77777777" w:rsidR="004B620B" w:rsidRPr="0098323F" w:rsidRDefault="004B620B" w:rsidP="004B620B">
      <w:r w:rsidRPr="003314DC">
        <w:t xml:space="preserve">I löneöversynen behöver vi också hantera obalanser som uppstått i den lokala </w:t>
      </w:r>
      <w:r w:rsidRPr="00061088">
        <w:t>lönestrukturen, här avsätter vi ungefär 10 % av det totala löneutrymmet.</w:t>
      </w:r>
    </w:p>
    <w:p w14:paraId="778AFCD9" w14:textId="77777777" w:rsidR="004B620B" w:rsidRPr="003314DC" w:rsidRDefault="004B620B" w:rsidP="004B620B">
      <w:r w:rsidRPr="003314DC">
        <w:t>Perspektivet med hela lönen, skulle kunna innebära att den som har en högre lön och presterar bra bara får en mindre löneökning, eftersom man presterat på den förväntade nivån. Vi tycker det är viktigt att även de med en högre lön känner att de kan påverka sin löneutveckling och därför är en del av löneökningen helt oberoende av löneläget.</w:t>
      </w:r>
    </w:p>
    <w:p w14:paraId="2A12FCE1" w14:textId="77777777" w:rsidR="004B620B" w:rsidRPr="003314DC" w:rsidRDefault="004B620B" w:rsidP="004B620B">
      <w:r w:rsidRPr="003314DC">
        <w:t xml:space="preserve">I </w:t>
      </w:r>
      <w:r>
        <w:t>vår</w:t>
      </w:r>
      <w:r w:rsidRPr="003314DC">
        <w:t xml:space="preserve"> modell delar vi in det budgeterade löneutrymmet i tre delar</w:t>
      </w:r>
    </w:p>
    <w:p w14:paraId="357C1AE1" w14:textId="77777777" w:rsidR="004B620B" w:rsidRPr="003314DC" w:rsidRDefault="004B620B" w:rsidP="004B620B">
      <w:pPr>
        <w:pStyle w:val="Rubrik3"/>
        <w:numPr>
          <w:ilvl w:val="0"/>
          <w:numId w:val="10"/>
        </w:numPr>
        <w:ind w:left="360"/>
        <w:rPr>
          <w:rFonts w:ascii="Arial" w:hAnsi="Arial" w:cs="Arial"/>
        </w:rPr>
      </w:pPr>
      <w:r w:rsidRPr="003314DC">
        <w:rPr>
          <w:rFonts w:ascii="Arial" w:hAnsi="Arial" w:cs="Arial"/>
        </w:rPr>
        <w:t>Omfördelning (10%)</w:t>
      </w:r>
    </w:p>
    <w:p w14:paraId="75200D17" w14:textId="77777777" w:rsidR="004B620B" w:rsidRPr="003314DC" w:rsidRDefault="004B620B" w:rsidP="004B620B">
      <w:r w:rsidRPr="003314DC">
        <w:t>Av olika anledningar kan det vara så att en del medarbetare ligger fel i sin lönenivå. för att försöka rätta till det, lyfter vi först ut 10 % av utrymmet, för att kunna höja lönerna för de som ligger alltför lågt.</w:t>
      </w:r>
    </w:p>
    <w:p w14:paraId="69A32603" w14:textId="77777777" w:rsidR="004B620B" w:rsidRPr="003314DC" w:rsidRDefault="004B620B" w:rsidP="004B620B">
      <w:pPr>
        <w:pStyle w:val="Rubrik3"/>
        <w:numPr>
          <w:ilvl w:val="0"/>
          <w:numId w:val="10"/>
        </w:numPr>
        <w:ind w:left="360"/>
        <w:rPr>
          <w:rFonts w:ascii="Arial" w:hAnsi="Arial" w:cs="Arial"/>
        </w:rPr>
      </w:pPr>
      <w:r w:rsidRPr="003314DC">
        <w:rPr>
          <w:rFonts w:ascii="Arial" w:hAnsi="Arial" w:cs="Arial"/>
        </w:rPr>
        <w:t>Prestation oberoende av löneläge (45 %)</w:t>
      </w:r>
    </w:p>
    <w:p w14:paraId="32F62844" w14:textId="77777777" w:rsidR="004B620B" w:rsidRPr="003314DC" w:rsidRDefault="004B620B" w:rsidP="004B620B">
      <w:r w:rsidRPr="003314DC">
        <w:t>Även medarbetare med ett högre löneläge behöver kunna höja sin lön, därför är hälften av den återstående utrymmet helt frikopplad från det löneläge man har.</w:t>
      </w:r>
    </w:p>
    <w:p w14:paraId="2873971D" w14:textId="77777777" w:rsidR="004B620B" w:rsidRPr="003314DC" w:rsidRDefault="004B620B" w:rsidP="004B620B">
      <w:pPr>
        <w:pStyle w:val="Rubrik3"/>
        <w:numPr>
          <w:ilvl w:val="0"/>
          <w:numId w:val="10"/>
        </w:numPr>
        <w:ind w:left="360"/>
        <w:rPr>
          <w:rFonts w:ascii="Arial" w:hAnsi="Arial" w:cs="Arial"/>
        </w:rPr>
      </w:pPr>
      <w:r w:rsidRPr="003314DC">
        <w:rPr>
          <w:rFonts w:ascii="Arial" w:hAnsi="Arial" w:cs="Arial"/>
        </w:rPr>
        <w:t>Prestation i förhållande till löneläge (45 %)</w:t>
      </w:r>
    </w:p>
    <w:p w14:paraId="75790847" w14:textId="77777777" w:rsidR="004B620B" w:rsidRPr="003314DC" w:rsidRDefault="004B620B" w:rsidP="004B620B">
      <w:r w:rsidRPr="003314DC">
        <w:t xml:space="preserve">Den sista delen av utrymmet fördelar vi helt enligt Stadens princip om hela lönen, dvs de med höga lönelägen behöver prestera mer för att få del av detta utrymme. </w:t>
      </w:r>
    </w:p>
    <w:p w14:paraId="3F3F7657" w14:textId="77777777" w:rsidR="004B620B" w:rsidRPr="003314DC" w:rsidRDefault="004B620B" w:rsidP="004B620B">
      <w:r w:rsidRPr="003314DC">
        <w:t>Så här ser den något förenklade modellen ut:</w:t>
      </w:r>
    </w:p>
    <w:tbl>
      <w:tblPr>
        <w:tblStyle w:val="Tabellrutn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079"/>
        <w:gridCol w:w="2079"/>
        <w:gridCol w:w="2079"/>
      </w:tblGrid>
      <w:tr w:rsidR="004B620B" w14:paraId="4FD9C711" w14:textId="77777777" w:rsidTr="00C17BE2">
        <w:tc>
          <w:tcPr>
            <w:tcW w:w="1702" w:type="dxa"/>
            <w:tcMar>
              <w:top w:w="142" w:type="dxa"/>
              <w:left w:w="142" w:type="dxa"/>
              <w:bottom w:w="142" w:type="dxa"/>
              <w:right w:w="142" w:type="dxa"/>
            </w:tcMar>
          </w:tcPr>
          <w:p w14:paraId="00ABCCD6" w14:textId="77777777" w:rsidR="004B620B" w:rsidRPr="00E72B78" w:rsidRDefault="004B620B" w:rsidP="00D0577F">
            <w:pPr>
              <w:pStyle w:val="Brdtext"/>
              <w:spacing w:after="0"/>
              <w:ind w:left="0"/>
              <w:rPr>
                <w:rFonts w:ascii="Arial" w:hAnsi="Arial" w:cs="Arial"/>
                <w:sz w:val="16"/>
                <w:szCs w:val="14"/>
              </w:rPr>
            </w:pPr>
          </w:p>
        </w:tc>
        <w:tc>
          <w:tcPr>
            <w:tcW w:w="2079" w:type="dxa"/>
            <w:tcBorders>
              <w:bottom w:val="single" w:sz="4" w:space="0" w:color="auto"/>
            </w:tcBorders>
            <w:tcMar>
              <w:top w:w="142" w:type="dxa"/>
              <w:left w:w="142" w:type="dxa"/>
              <w:bottom w:w="142" w:type="dxa"/>
              <w:right w:w="142" w:type="dxa"/>
            </w:tcMar>
          </w:tcPr>
          <w:p w14:paraId="59DDF06D" w14:textId="77777777" w:rsidR="004B620B" w:rsidRPr="00E72B78" w:rsidRDefault="004B620B" w:rsidP="00D0577F">
            <w:pPr>
              <w:pStyle w:val="Brdtext"/>
              <w:spacing w:after="0"/>
              <w:ind w:left="0"/>
              <w:jc w:val="center"/>
              <w:rPr>
                <w:rFonts w:ascii="Arial" w:hAnsi="Arial" w:cs="Arial"/>
                <w:sz w:val="16"/>
                <w:szCs w:val="14"/>
              </w:rPr>
            </w:pPr>
            <w:r w:rsidRPr="00E72B78">
              <w:rPr>
                <w:rFonts w:ascii="Arial" w:hAnsi="Arial" w:cs="Arial"/>
                <w:sz w:val="16"/>
                <w:szCs w:val="14"/>
              </w:rPr>
              <w:t>Lägre prestation</w:t>
            </w:r>
          </w:p>
        </w:tc>
        <w:tc>
          <w:tcPr>
            <w:tcW w:w="2079" w:type="dxa"/>
            <w:tcBorders>
              <w:bottom w:val="single" w:sz="4" w:space="0" w:color="auto"/>
            </w:tcBorders>
            <w:tcMar>
              <w:top w:w="142" w:type="dxa"/>
              <w:left w:w="142" w:type="dxa"/>
              <w:bottom w:w="142" w:type="dxa"/>
              <w:right w:w="142" w:type="dxa"/>
            </w:tcMar>
          </w:tcPr>
          <w:p w14:paraId="325D78C4" w14:textId="77777777" w:rsidR="004B620B" w:rsidRPr="00E72B78" w:rsidRDefault="004B620B" w:rsidP="00D0577F">
            <w:pPr>
              <w:pStyle w:val="Brdtext"/>
              <w:spacing w:after="0"/>
              <w:ind w:left="0"/>
              <w:jc w:val="center"/>
              <w:rPr>
                <w:rFonts w:ascii="Arial" w:hAnsi="Arial" w:cs="Arial"/>
                <w:sz w:val="16"/>
                <w:szCs w:val="14"/>
              </w:rPr>
            </w:pPr>
            <w:r>
              <w:rPr>
                <w:rFonts w:ascii="Arial" w:hAnsi="Arial" w:cs="Arial"/>
                <w:sz w:val="16"/>
                <w:szCs w:val="14"/>
              </w:rPr>
              <w:t>Medelhög prestation</w:t>
            </w:r>
          </w:p>
        </w:tc>
        <w:tc>
          <w:tcPr>
            <w:tcW w:w="2079" w:type="dxa"/>
            <w:tcBorders>
              <w:bottom w:val="single" w:sz="4" w:space="0" w:color="auto"/>
            </w:tcBorders>
            <w:tcMar>
              <w:top w:w="142" w:type="dxa"/>
              <w:left w:w="142" w:type="dxa"/>
              <w:bottom w:w="142" w:type="dxa"/>
              <w:right w:w="142" w:type="dxa"/>
            </w:tcMar>
          </w:tcPr>
          <w:p w14:paraId="46EEBD1C" w14:textId="77777777" w:rsidR="004B620B" w:rsidRPr="00E72B78" w:rsidRDefault="004B620B" w:rsidP="00D0577F">
            <w:pPr>
              <w:pStyle w:val="Brdtext"/>
              <w:spacing w:after="0"/>
              <w:ind w:left="0"/>
              <w:jc w:val="center"/>
              <w:rPr>
                <w:rFonts w:ascii="Arial" w:hAnsi="Arial" w:cs="Arial"/>
                <w:sz w:val="16"/>
                <w:szCs w:val="14"/>
              </w:rPr>
            </w:pPr>
            <w:r>
              <w:rPr>
                <w:rFonts w:ascii="Arial" w:hAnsi="Arial" w:cs="Arial"/>
                <w:sz w:val="16"/>
                <w:szCs w:val="14"/>
              </w:rPr>
              <w:t>Hög prestation</w:t>
            </w:r>
          </w:p>
        </w:tc>
      </w:tr>
      <w:tr w:rsidR="004B620B" w14:paraId="7AB28D2A" w14:textId="77777777" w:rsidTr="00C17BE2">
        <w:tc>
          <w:tcPr>
            <w:tcW w:w="1702" w:type="dxa"/>
            <w:tcBorders>
              <w:right w:val="single" w:sz="4" w:space="0" w:color="auto"/>
            </w:tcBorders>
            <w:tcMar>
              <w:top w:w="142" w:type="dxa"/>
              <w:left w:w="142" w:type="dxa"/>
              <w:bottom w:w="142" w:type="dxa"/>
              <w:right w:w="142" w:type="dxa"/>
            </w:tcMar>
          </w:tcPr>
          <w:p w14:paraId="70B6C697" w14:textId="77777777" w:rsidR="004B620B" w:rsidRPr="00E72B78" w:rsidRDefault="004B620B" w:rsidP="00D0577F">
            <w:pPr>
              <w:pStyle w:val="Brdtext"/>
              <w:spacing w:after="0"/>
              <w:ind w:left="0"/>
              <w:rPr>
                <w:rFonts w:ascii="Arial" w:hAnsi="Arial" w:cs="Arial"/>
                <w:sz w:val="16"/>
                <w:szCs w:val="14"/>
              </w:rPr>
            </w:pPr>
            <w:r>
              <w:rPr>
                <w:rFonts w:ascii="Arial" w:hAnsi="Arial" w:cs="Arial"/>
                <w:sz w:val="16"/>
                <w:szCs w:val="14"/>
              </w:rPr>
              <w:t>Lägre</w:t>
            </w:r>
            <w:r w:rsidRPr="00E72B78">
              <w:rPr>
                <w:rFonts w:ascii="Arial" w:hAnsi="Arial" w:cs="Arial"/>
                <w:sz w:val="16"/>
                <w:szCs w:val="14"/>
              </w:rPr>
              <w:t xml:space="preserve"> löneläge</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2EED92E1" w14:textId="77777777" w:rsidR="004B620B" w:rsidRPr="00A42BD0" w:rsidRDefault="004B620B" w:rsidP="00D0577F">
            <w:pPr>
              <w:pStyle w:val="Brdtext"/>
              <w:spacing w:after="0"/>
              <w:ind w:left="0"/>
              <w:jc w:val="center"/>
              <w:rPr>
                <w:rFonts w:ascii="Arial" w:hAnsi="Arial" w:cs="Arial"/>
                <w:b/>
                <w:bCs/>
                <w:sz w:val="16"/>
                <w:szCs w:val="14"/>
              </w:rPr>
            </w:pPr>
            <w:r w:rsidRPr="00A42BD0">
              <w:rPr>
                <w:rFonts w:ascii="Arial" w:hAnsi="Arial" w:cs="Arial"/>
                <w:b/>
                <w:bCs/>
                <w:color w:val="FF0000"/>
                <w:sz w:val="16"/>
                <w:szCs w:val="14"/>
              </w:rPr>
              <w:t>lägre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6B289DAC" w14:textId="77777777" w:rsidR="004B620B" w:rsidRPr="00E72B78" w:rsidRDefault="004B620B" w:rsidP="00D0577F">
            <w:pPr>
              <w:pStyle w:val="Brdtext"/>
              <w:spacing w:after="0"/>
              <w:ind w:left="0"/>
              <w:jc w:val="center"/>
              <w:rPr>
                <w:rFonts w:ascii="Arial" w:hAnsi="Arial" w:cs="Arial"/>
                <w:sz w:val="16"/>
                <w:szCs w:val="14"/>
              </w:rPr>
            </w:pPr>
            <w:r w:rsidRPr="001F3779">
              <w:rPr>
                <w:rFonts w:ascii="Arial" w:hAnsi="Arial" w:cs="Arial"/>
                <w:b/>
                <w:bCs/>
                <w:color w:val="00B050"/>
                <w:sz w:val="16"/>
                <w:szCs w:val="14"/>
              </w:rPr>
              <w:t>högre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1035CAD2" w14:textId="77777777" w:rsidR="004B620B" w:rsidRPr="00E72B78" w:rsidRDefault="004B620B" w:rsidP="00D0577F">
            <w:pPr>
              <w:pStyle w:val="Brdtext"/>
              <w:spacing w:after="0"/>
              <w:ind w:left="0"/>
              <w:jc w:val="center"/>
              <w:rPr>
                <w:rFonts w:ascii="Arial" w:hAnsi="Arial" w:cs="Arial"/>
                <w:sz w:val="16"/>
                <w:szCs w:val="14"/>
              </w:rPr>
            </w:pPr>
            <w:r w:rsidRPr="001F3779">
              <w:rPr>
                <w:rFonts w:ascii="Arial" w:hAnsi="Arial" w:cs="Arial"/>
                <w:b/>
                <w:bCs/>
                <w:color w:val="00B050"/>
                <w:sz w:val="16"/>
                <w:szCs w:val="14"/>
              </w:rPr>
              <w:t>högre löneökning</w:t>
            </w:r>
          </w:p>
        </w:tc>
      </w:tr>
      <w:tr w:rsidR="004B620B" w14:paraId="7763AC9C" w14:textId="77777777" w:rsidTr="00C17BE2">
        <w:tc>
          <w:tcPr>
            <w:tcW w:w="1702" w:type="dxa"/>
            <w:tcBorders>
              <w:right w:val="single" w:sz="4" w:space="0" w:color="auto"/>
            </w:tcBorders>
            <w:tcMar>
              <w:top w:w="142" w:type="dxa"/>
              <w:left w:w="142" w:type="dxa"/>
              <w:bottom w:w="142" w:type="dxa"/>
              <w:right w:w="142" w:type="dxa"/>
            </w:tcMar>
          </w:tcPr>
          <w:p w14:paraId="2EDE6AE9" w14:textId="77777777" w:rsidR="004B620B" w:rsidRPr="00E72B78" w:rsidRDefault="004B620B" w:rsidP="00D0577F">
            <w:pPr>
              <w:pStyle w:val="Brdtext"/>
              <w:spacing w:after="0"/>
              <w:ind w:left="0"/>
              <w:rPr>
                <w:rFonts w:ascii="Arial" w:hAnsi="Arial" w:cs="Arial"/>
                <w:sz w:val="16"/>
                <w:szCs w:val="14"/>
              </w:rPr>
            </w:pPr>
            <w:r w:rsidRPr="00E72B78">
              <w:rPr>
                <w:rFonts w:ascii="Arial" w:hAnsi="Arial" w:cs="Arial"/>
                <w:sz w:val="16"/>
                <w:szCs w:val="14"/>
              </w:rPr>
              <w:t>Medel</w:t>
            </w:r>
            <w:r>
              <w:rPr>
                <w:rFonts w:ascii="Arial" w:hAnsi="Arial" w:cs="Arial"/>
                <w:sz w:val="16"/>
                <w:szCs w:val="14"/>
              </w:rPr>
              <w:t>högt</w:t>
            </w:r>
            <w:r w:rsidRPr="00E72B78">
              <w:rPr>
                <w:rFonts w:ascii="Arial" w:hAnsi="Arial" w:cs="Arial"/>
                <w:sz w:val="16"/>
                <w:szCs w:val="14"/>
              </w:rPr>
              <w:t xml:space="preserve"> löneläge</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25B840CA" w14:textId="77777777" w:rsidR="004B620B" w:rsidRPr="00E72B78" w:rsidRDefault="004B620B" w:rsidP="00D0577F">
            <w:pPr>
              <w:pStyle w:val="Brdtext"/>
              <w:spacing w:after="0"/>
              <w:ind w:left="0"/>
              <w:jc w:val="center"/>
              <w:rPr>
                <w:rFonts w:ascii="Arial" w:hAnsi="Arial" w:cs="Arial"/>
                <w:sz w:val="16"/>
                <w:szCs w:val="14"/>
              </w:rPr>
            </w:pPr>
            <w:r w:rsidRPr="00A42BD0">
              <w:rPr>
                <w:rFonts w:ascii="Arial" w:hAnsi="Arial" w:cs="Arial"/>
                <w:b/>
                <w:bCs/>
                <w:color w:val="FF0000"/>
                <w:sz w:val="16"/>
                <w:szCs w:val="14"/>
              </w:rPr>
              <w:t>lägre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289A5E8D" w14:textId="77777777" w:rsidR="004B620B" w:rsidRPr="00E72B78" w:rsidRDefault="004B620B" w:rsidP="00D0577F">
            <w:pPr>
              <w:pStyle w:val="Brdtext"/>
              <w:spacing w:after="0"/>
              <w:ind w:left="0"/>
              <w:jc w:val="center"/>
              <w:rPr>
                <w:rFonts w:ascii="Arial" w:hAnsi="Arial" w:cs="Arial"/>
                <w:sz w:val="16"/>
                <w:szCs w:val="14"/>
              </w:rPr>
            </w:pPr>
            <w:r>
              <w:rPr>
                <w:rFonts w:ascii="Arial" w:hAnsi="Arial" w:cs="Arial"/>
                <w:sz w:val="16"/>
                <w:szCs w:val="14"/>
              </w:rPr>
              <w:t>medelhög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452A008B" w14:textId="77777777" w:rsidR="004B620B" w:rsidRPr="001F3779" w:rsidRDefault="004B620B" w:rsidP="00D0577F">
            <w:pPr>
              <w:pStyle w:val="Brdtext"/>
              <w:spacing w:after="0"/>
              <w:ind w:left="0"/>
              <w:jc w:val="center"/>
              <w:rPr>
                <w:rFonts w:ascii="Arial" w:hAnsi="Arial" w:cs="Arial"/>
                <w:b/>
                <w:bCs/>
                <w:sz w:val="16"/>
                <w:szCs w:val="14"/>
              </w:rPr>
            </w:pPr>
            <w:r w:rsidRPr="001F3779">
              <w:rPr>
                <w:rFonts w:ascii="Arial" w:hAnsi="Arial" w:cs="Arial"/>
                <w:b/>
                <w:bCs/>
                <w:color w:val="00B050"/>
                <w:sz w:val="16"/>
                <w:szCs w:val="14"/>
              </w:rPr>
              <w:t>högre löneökning</w:t>
            </w:r>
          </w:p>
        </w:tc>
      </w:tr>
      <w:tr w:rsidR="004B620B" w14:paraId="6F3BE6FA" w14:textId="77777777" w:rsidTr="00C17BE2">
        <w:tc>
          <w:tcPr>
            <w:tcW w:w="1702" w:type="dxa"/>
            <w:tcBorders>
              <w:right w:val="single" w:sz="4" w:space="0" w:color="auto"/>
            </w:tcBorders>
            <w:tcMar>
              <w:top w:w="142" w:type="dxa"/>
              <w:left w:w="142" w:type="dxa"/>
              <w:bottom w:w="142" w:type="dxa"/>
              <w:right w:w="142" w:type="dxa"/>
            </w:tcMar>
          </w:tcPr>
          <w:p w14:paraId="45E1CDE3" w14:textId="77777777" w:rsidR="004B620B" w:rsidRPr="00E72B78" w:rsidRDefault="004B620B" w:rsidP="00D0577F">
            <w:pPr>
              <w:pStyle w:val="Brdtext"/>
              <w:spacing w:after="0"/>
              <w:ind w:left="0"/>
              <w:rPr>
                <w:rFonts w:ascii="Arial" w:hAnsi="Arial" w:cs="Arial"/>
                <w:sz w:val="16"/>
                <w:szCs w:val="14"/>
              </w:rPr>
            </w:pPr>
            <w:r>
              <w:rPr>
                <w:rFonts w:ascii="Arial" w:hAnsi="Arial" w:cs="Arial"/>
                <w:sz w:val="16"/>
                <w:szCs w:val="14"/>
              </w:rPr>
              <w:t>Högre</w:t>
            </w:r>
            <w:r w:rsidRPr="00E72B78">
              <w:rPr>
                <w:rFonts w:ascii="Arial" w:hAnsi="Arial" w:cs="Arial"/>
                <w:sz w:val="16"/>
                <w:szCs w:val="14"/>
              </w:rPr>
              <w:t xml:space="preserve"> löneläge</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02A468FE" w14:textId="77777777" w:rsidR="004B620B" w:rsidRPr="00E72B78" w:rsidRDefault="004B620B" w:rsidP="00D0577F">
            <w:pPr>
              <w:pStyle w:val="Brdtext"/>
              <w:spacing w:after="0"/>
              <w:ind w:left="0"/>
              <w:jc w:val="center"/>
              <w:rPr>
                <w:rFonts w:ascii="Arial" w:hAnsi="Arial" w:cs="Arial"/>
                <w:sz w:val="16"/>
                <w:szCs w:val="14"/>
              </w:rPr>
            </w:pPr>
            <w:r w:rsidRPr="00A42BD0">
              <w:rPr>
                <w:rFonts w:ascii="Arial" w:hAnsi="Arial" w:cs="Arial"/>
                <w:b/>
                <w:bCs/>
                <w:color w:val="FF0000"/>
                <w:sz w:val="16"/>
                <w:szCs w:val="14"/>
              </w:rPr>
              <w:t>lägre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785C7E7C" w14:textId="77777777" w:rsidR="004B620B" w:rsidRPr="00E72B78" w:rsidRDefault="004B620B" w:rsidP="00D0577F">
            <w:pPr>
              <w:pStyle w:val="Brdtext"/>
              <w:spacing w:after="0"/>
              <w:ind w:left="0"/>
              <w:jc w:val="center"/>
              <w:rPr>
                <w:rFonts w:ascii="Arial" w:hAnsi="Arial" w:cs="Arial"/>
                <w:sz w:val="16"/>
                <w:szCs w:val="14"/>
              </w:rPr>
            </w:pPr>
            <w:r w:rsidRPr="00A42BD0">
              <w:rPr>
                <w:rFonts w:ascii="Arial" w:hAnsi="Arial" w:cs="Arial"/>
                <w:b/>
                <w:bCs/>
                <w:color w:val="FF0000"/>
                <w:sz w:val="16"/>
                <w:szCs w:val="14"/>
              </w:rPr>
              <w:t>lägre löneökning</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42" w:type="dxa"/>
              <w:right w:w="142" w:type="dxa"/>
            </w:tcMar>
          </w:tcPr>
          <w:p w14:paraId="0F6D4D51" w14:textId="77777777" w:rsidR="004B620B" w:rsidRPr="00E72B78" w:rsidRDefault="004B620B" w:rsidP="00D0577F">
            <w:pPr>
              <w:pStyle w:val="Brdtext"/>
              <w:spacing w:after="0"/>
              <w:ind w:left="0"/>
              <w:jc w:val="center"/>
              <w:rPr>
                <w:rFonts w:ascii="Arial" w:hAnsi="Arial" w:cs="Arial"/>
                <w:sz w:val="16"/>
                <w:szCs w:val="14"/>
              </w:rPr>
            </w:pPr>
            <w:r>
              <w:rPr>
                <w:rFonts w:ascii="Arial" w:hAnsi="Arial" w:cs="Arial"/>
                <w:sz w:val="16"/>
                <w:szCs w:val="14"/>
              </w:rPr>
              <w:t>medelhög löneökning</w:t>
            </w:r>
          </w:p>
        </w:tc>
      </w:tr>
      <w:bookmarkEnd w:id="0"/>
    </w:tbl>
    <w:p w14:paraId="2747407B" w14:textId="77777777" w:rsidR="0051151F" w:rsidRPr="0051151F" w:rsidRDefault="0051151F" w:rsidP="0051151F"/>
    <w:sectPr w:rsidR="0051151F" w:rsidRPr="0051151F" w:rsidSect="00B5412B">
      <w:headerReference w:type="even" r:id="rId8"/>
      <w:headerReference w:type="default" r:id="rId9"/>
      <w:headerReference w:type="first" r:id="rId10"/>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6743" w14:textId="77777777" w:rsidR="00F86C63" w:rsidRDefault="00F86C63" w:rsidP="00F901B3">
      <w:pPr>
        <w:spacing w:after="0"/>
      </w:pPr>
      <w:r>
        <w:separator/>
      </w:r>
    </w:p>
  </w:endnote>
  <w:endnote w:type="continuationSeparator" w:id="0">
    <w:p w14:paraId="76D07D0A" w14:textId="77777777" w:rsidR="00F86C63" w:rsidRDefault="00F86C63"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FA4B" w14:textId="77777777" w:rsidR="00F86C63" w:rsidRDefault="00F86C63" w:rsidP="00F901B3">
      <w:pPr>
        <w:spacing w:after="0"/>
      </w:pPr>
      <w:r>
        <w:separator/>
      </w:r>
    </w:p>
  </w:footnote>
  <w:footnote w:type="continuationSeparator" w:id="0">
    <w:p w14:paraId="4CA3252D" w14:textId="77777777" w:rsidR="00F86C63" w:rsidRDefault="00F86C63"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A589" w14:textId="1C39DB67" w:rsidR="00C17BE2" w:rsidRDefault="00000000">
    <w:pPr>
      <w:pStyle w:val="Sidhuvud"/>
    </w:pPr>
    <w:r>
      <w:rPr>
        <w:noProof/>
      </w:rPr>
      <w:pict w14:anchorId="72A2B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23438"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2202D5B5" w14:textId="77777777" w:rsidTr="00C17BE2">
      <w:trPr>
        <w:trHeight w:val="560"/>
      </w:trPr>
      <w:tc>
        <w:tcPr>
          <w:tcW w:w="7938" w:type="dxa"/>
          <w:gridSpan w:val="4"/>
          <w:tcBorders>
            <w:bottom w:val="single" w:sz="4" w:space="0" w:color="auto"/>
          </w:tcBorders>
          <w:vAlign w:val="bottom"/>
        </w:tcPr>
        <w:p w14:paraId="43438D55"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1191D0C5"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21905361" w14:textId="77777777" w:rsidTr="00C17BE2">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1CD46CF"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B226D09"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2BDB316"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28C0B0B"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110AF377" w14:textId="77777777" w:rsidTr="00C17BE2">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B746C" w14:textId="72401DF1" w:rsidR="00C544ED" w:rsidRPr="00813014" w:rsidRDefault="002C54C6" w:rsidP="00F901B3">
          <w:pPr>
            <w:spacing w:after="0"/>
            <w:rPr>
              <w:rFonts w:cs="Arial"/>
            </w:rPr>
          </w:pPr>
          <w:r>
            <w:rPr>
              <w:rFonts w:cs="Arial"/>
            </w:rPr>
            <w:t xml:space="preserve">Per </w:t>
          </w:r>
          <w:r w:rsidR="00C17BE2">
            <w:rPr>
              <w:rFonts w:cs="Arial"/>
            </w:rPr>
            <w:t>Persilja</w:t>
          </w:r>
          <w:r w:rsidR="000577ED">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3850" w14:textId="4C97E672" w:rsidR="00C544ED" w:rsidRPr="00813014" w:rsidRDefault="002C54C6" w:rsidP="00F901B3">
          <w:pPr>
            <w:spacing w:after="0"/>
            <w:rPr>
              <w:rFonts w:cs="Arial"/>
            </w:rPr>
          </w:pPr>
          <w:r>
            <w:rPr>
              <w:rFonts w:cs="Arial"/>
            </w:rPr>
            <w:t>202</w:t>
          </w:r>
          <w:r w:rsidR="003C59E7">
            <w:rPr>
              <w:rFonts w:cs="Arial"/>
            </w:rPr>
            <w:t>4-03-13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3302C"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C0363"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6C2AD181" w14:textId="673BE81A" w:rsidR="00F901B3" w:rsidRDefault="00000000">
    <w:pPr>
      <w:pStyle w:val="Sidhuvud"/>
    </w:pPr>
    <w:r>
      <w:rPr>
        <w:noProof/>
      </w:rPr>
      <w:pict w14:anchorId="00441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23439"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0577ED">
      <w:rPr>
        <w:noProof/>
      </w:rPr>
      <w:drawing>
        <wp:anchor distT="0" distB="0" distL="114300" distR="114300" simplePos="0" relativeHeight="251658240" behindDoc="0" locked="0" layoutInCell="1" allowOverlap="1" wp14:anchorId="62A4F6BE" wp14:editId="6D9AB91A">
          <wp:simplePos x="0" y="0"/>
          <wp:positionH relativeFrom="page">
            <wp:posOffset>288290</wp:posOffset>
          </wp:positionH>
          <wp:positionV relativeFrom="page">
            <wp:posOffset>288290</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7349" w14:textId="497D73A3" w:rsidR="00C17BE2" w:rsidRDefault="00000000">
    <w:pPr>
      <w:pStyle w:val="Sidhuvud"/>
    </w:pPr>
    <w:r>
      <w:rPr>
        <w:noProof/>
      </w:rPr>
      <w:pict w14:anchorId="6CC9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23437"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C03"/>
    <w:multiLevelType w:val="hybridMultilevel"/>
    <w:tmpl w:val="CB006F02"/>
    <w:lvl w:ilvl="0" w:tplc="F384ACCE">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2C834D84"/>
    <w:multiLevelType w:val="multilevel"/>
    <w:tmpl w:val="187E208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4"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num w:numId="1" w16cid:durableId="2139882850">
    <w:abstractNumId w:val="2"/>
  </w:num>
  <w:num w:numId="2" w16cid:durableId="1058018731">
    <w:abstractNumId w:val="1"/>
  </w:num>
  <w:num w:numId="3" w16cid:durableId="29040354">
    <w:abstractNumId w:val="9"/>
  </w:num>
  <w:num w:numId="4" w16cid:durableId="73555691">
    <w:abstractNumId w:val="3"/>
  </w:num>
  <w:num w:numId="5" w16cid:durableId="890533918">
    <w:abstractNumId w:val="7"/>
  </w:num>
  <w:num w:numId="6" w16cid:durableId="1542664781">
    <w:abstractNumId w:val="5"/>
  </w:num>
  <w:num w:numId="7" w16cid:durableId="1360087367">
    <w:abstractNumId w:val="8"/>
  </w:num>
  <w:num w:numId="8" w16cid:durableId="936209617">
    <w:abstractNumId w:val="6"/>
  </w:num>
  <w:num w:numId="9" w16cid:durableId="1322080289">
    <w:abstractNumId w:val="4"/>
  </w:num>
  <w:num w:numId="10" w16cid:durableId="95336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0B"/>
    <w:rsid w:val="000069A1"/>
    <w:rsid w:val="00032DA4"/>
    <w:rsid w:val="00041097"/>
    <w:rsid w:val="00052A1E"/>
    <w:rsid w:val="000577ED"/>
    <w:rsid w:val="00073531"/>
    <w:rsid w:val="00131712"/>
    <w:rsid w:val="00147F57"/>
    <w:rsid w:val="00166F5D"/>
    <w:rsid w:val="001D7E12"/>
    <w:rsid w:val="002374BE"/>
    <w:rsid w:val="0023796A"/>
    <w:rsid w:val="00254F1F"/>
    <w:rsid w:val="00271897"/>
    <w:rsid w:val="002B0FF3"/>
    <w:rsid w:val="002C54C6"/>
    <w:rsid w:val="002D1668"/>
    <w:rsid w:val="002F66F3"/>
    <w:rsid w:val="003C59E7"/>
    <w:rsid w:val="003D13E6"/>
    <w:rsid w:val="0044281E"/>
    <w:rsid w:val="00487BAA"/>
    <w:rsid w:val="00487E1A"/>
    <w:rsid w:val="004A6D49"/>
    <w:rsid w:val="004B620B"/>
    <w:rsid w:val="0051151F"/>
    <w:rsid w:val="00517203"/>
    <w:rsid w:val="00520A72"/>
    <w:rsid w:val="005532A4"/>
    <w:rsid w:val="00567263"/>
    <w:rsid w:val="005A2BF0"/>
    <w:rsid w:val="005F7E5F"/>
    <w:rsid w:val="006229FE"/>
    <w:rsid w:val="0065090B"/>
    <w:rsid w:val="00675F5B"/>
    <w:rsid w:val="006A2C0B"/>
    <w:rsid w:val="006F24A7"/>
    <w:rsid w:val="006F619E"/>
    <w:rsid w:val="007443AD"/>
    <w:rsid w:val="0076400C"/>
    <w:rsid w:val="00776217"/>
    <w:rsid w:val="0077791C"/>
    <w:rsid w:val="007B5859"/>
    <w:rsid w:val="007B5F15"/>
    <w:rsid w:val="00817A2C"/>
    <w:rsid w:val="00837901"/>
    <w:rsid w:val="00845777"/>
    <w:rsid w:val="00846BED"/>
    <w:rsid w:val="00854548"/>
    <w:rsid w:val="00873BC9"/>
    <w:rsid w:val="00885337"/>
    <w:rsid w:val="009753F4"/>
    <w:rsid w:val="00996D0E"/>
    <w:rsid w:val="009D0636"/>
    <w:rsid w:val="009E3C62"/>
    <w:rsid w:val="00A11A07"/>
    <w:rsid w:val="00A1701C"/>
    <w:rsid w:val="00A4374A"/>
    <w:rsid w:val="00A8177C"/>
    <w:rsid w:val="00A86056"/>
    <w:rsid w:val="00B05B5D"/>
    <w:rsid w:val="00B44274"/>
    <w:rsid w:val="00B5412B"/>
    <w:rsid w:val="00B85FFC"/>
    <w:rsid w:val="00B9117B"/>
    <w:rsid w:val="00B9462F"/>
    <w:rsid w:val="00BA302B"/>
    <w:rsid w:val="00BA693E"/>
    <w:rsid w:val="00BC788D"/>
    <w:rsid w:val="00C17BE2"/>
    <w:rsid w:val="00C416C8"/>
    <w:rsid w:val="00C544ED"/>
    <w:rsid w:val="00C65271"/>
    <w:rsid w:val="00C86C35"/>
    <w:rsid w:val="00CA2BF5"/>
    <w:rsid w:val="00CF3843"/>
    <w:rsid w:val="00D130EC"/>
    <w:rsid w:val="00D205BD"/>
    <w:rsid w:val="00D3022B"/>
    <w:rsid w:val="00D45B6D"/>
    <w:rsid w:val="00D636BD"/>
    <w:rsid w:val="00DA793A"/>
    <w:rsid w:val="00DC48ED"/>
    <w:rsid w:val="00DE37B1"/>
    <w:rsid w:val="00DF289F"/>
    <w:rsid w:val="00E0273B"/>
    <w:rsid w:val="00E30A2F"/>
    <w:rsid w:val="00E462D3"/>
    <w:rsid w:val="00EC0549"/>
    <w:rsid w:val="00EC342E"/>
    <w:rsid w:val="00EC5DB0"/>
    <w:rsid w:val="00EF1D74"/>
    <w:rsid w:val="00F22026"/>
    <w:rsid w:val="00F81EF1"/>
    <w:rsid w:val="00F86C63"/>
    <w:rsid w:val="00F901B3"/>
    <w:rsid w:val="00F939BC"/>
    <w:rsid w:val="00FB3333"/>
    <w:rsid w:val="00FE5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1135E"/>
  <w15:chartTrackingRefBased/>
  <w15:docId w15:val="{DE407794-77F5-446E-A73F-08134513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DC48ED"/>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DC48ED"/>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DC48ED"/>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DC48ED"/>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 w:type="paragraph" w:customStyle="1" w:styleId="titel">
    <w:name w:val="titel"/>
    <w:link w:val="titelChar"/>
    <w:qFormat/>
    <w:rsid w:val="00885337"/>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885337"/>
    <w:rPr>
      <w:rFonts w:ascii="Average Sans" w:eastAsiaTheme="majorEastAsia" w:hAnsi="Average Sans" w:cstheme="majorBidi"/>
      <w:b/>
      <w:bCs/>
      <w:color w:val="00478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CB02-381E-432D-B029-07237CF0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1_huvud.dotx</Template>
  <TotalTime>13</TotalTime>
  <Pages>1</Pages>
  <Words>406</Words>
  <Characters>2157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037-LOS_fordelning</vt:lpstr>
    </vt:vector>
  </TitlesOfParts>
  <Company>Struktiv</Company>
  <LinksUpToDate>false</LinksUpToDate>
  <CharactersWithSpaces>2558</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037-LOS_fordelning</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6</cp:revision>
  <cp:lastPrinted>2024-10-14T17:10:00Z</cp:lastPrinted>
  <dcterms:created xsi:type="dcterms:W3CDTF">2024-09-23T06:23:00Z</dcterms:created>
  <dcterms:modified xsi:type="dcterms:W3CDTF">2024-10-14T17:11:00Z</dcterms:modified>
</cp:coreProperties>
</file>